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454" w:rsidRDefault="00176454" w:rsidP="00176454">
      <w:pPr>
        <w:tabs>
          <w:tab w:val="left" w:pos="1170"/>
        </w:tabs>
        <w:spacing w:after="120" w:line="240" w:lineRule="auto"/>
        <w:jc w:val="center"/>
        <w:rPr>
          <w:rFonts w:ascii="Cambria" w:hAnsi="Cambria"/>
          <w:b/>
          <w:color w:val="17365D"/>
          <w:spacing w:val="5"/>
          <w:kern w:val="28"/>
          <w:sz w:val="36"/>
          <w:szCs w:val="36"/>
        </w:rPr>
      </w:pPr>
      <w:r>
        <w:rPr>
          <w:rFonts w:ascii="Cambria" w:hAnsi="Cambria"/>
          <w:b/>
          <w:noProof/>
          <w:color w:val="17365D"/>
          <w:spacing w:val="5"/>
          <w:kern w:val="28"/>
          <w:sz w:val="36"/>
          <w:szCs w:val="36"/>
        </w:rPr>
        <mc:AlternateContent>
          <mc:Choice Requires="wps">
            <w:drawing>
              <wp:anchor distT="0" distB="0" distL="114300" distR="114300" simplePos="0" relativeHeight="251659264" behindDoc="0" locked="0" layoutInCell="1" allowOverlap="1" wp14:anchorId="45286099" wp14:editId="390EA6D3">
                <wp:simplePos x="0" y="0"/>
                <wp:positionH relativeFrom="column">
                  <wp:posOffset>742950</wp:posOffset>
                </wp:positionH>
                <wp:positionV relativeFrom="paragraph">
                  <wp:posOffset>153035</wp:posOffset>
                </wp:positionV>
                <wp:extent cx="1860550" cy="5194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519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6454" w:rsidRPr="003B5141" w:rsidRDefault="00176454" w:rsidP="000E4FD9">
                            <w:pPr>
                              <w:spacing w:after="0" w:line="240" w:lineRule="auto"/>
                              <w:rPr>
                                <w:rFonts w:ascii="Garamond" w:hAnsi="Garamond"/>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86099" id="_x0000_t202" coordsize="21600,21600" o:spt="202" path="m,l,21600r21600,l21600,xe">
                <v:stroke joinstyle="miter"/>
                <v:path gradientshapeok="t" o:connecttype="rect"/>
              </v:shapetype>
              <v:shape id="Text Box 2" o:spid="_x0000_s1026" type="#_x0000_t202" style="position:absolute;left:0;text-align:left;margin-left:58.5pt;margin-top:12.05pt;width:146.5pt;height:4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E/n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" filled="f" stroked="f">
                <v:textbox>
                  <w:txbxContent>
                    <w:p w:rsidR="00176454" w:rsidRPr="003B5141" w:rsidRDefault="00176454" w:rsidP="000E4FD9">
                      <w:pPr>
                        <w:spacing w:after="0" w:line="240" w:lineRule="auto"/>
                        <w:rPr>
                          <w:rFonts w:ascii="Garamond" w:hAnsi="Garamond"/>
                          <w:b/>
                          <w:sz w:val="28"/>
                        </w:rPr>
                      </w:pPr>
                    </w:p>
                  </w:txbxContent>
                </v:textbox>
              </v:shape>
            </w:pict>
          </mc:Fallback>
        </mc:AlternateContent>
      </w:r>
      <w:bookmarkStart w:id="0" w:name="_GoBack"/>
      <w:bookmarkEnd w:id="0"/>
    </w:p>
    <w:p w:rsidR="00176454" w:rsidRPr="00FC2FBD" w:rsidRDefault="003410F0" w:rsidP="00B006C5">
      <w:pPr>
        <w:tabs>
          <w:tab w:val="left" w:pos="1170"/>
        </w:tabs>
        <w:spacing w:after="0" w:line="240" w:lineRule="auto"/>
        <w:jc w:val="center"/>
        <w:rPr>
          <w:rFonts w:ascii="Cambria" w:hAnsi="Cambria"/>
          <w:b/>
          <w:color w:val="17365D"/>
          <w:spacing w:val="5"/>
          <w:kern w:val="28"/>
          <w:sz w:val="36"/>
          <w:szCs w:val="36"/>
        </w:rPr>
      </w:pPr>
      <w:proofErr w:type="gramStart"/>
      <w:r>
        <w:rPr>
          <w:rFonts w:ascii="Cambria" w:hAnsi="Cambria"/>
          <w:b/>
          <w:color w:val="17365D"/>
          <w:spacing w:val="5"/>
          <w:kern w:val="28"/>
          <w:sz w:val="36"/>
          <w:szCs w:val="36"/>
        </w:rPr>
        <w:t>DoD</w:t>
      </w:r>
      <w:proofErr w:type="gramEnd"/>
      <w:r>
        <w:rPr>
          <w:rFonts w:ascii="Cambria" w:hAnsi="Cambria"/>
          <w:b/>
          <w:color w:val="17365D"/>
          <w:spacing w:val="5"/>
          <w:kern w:val="28"/>
          <w:sz w:val="36"/>
          <w:szCs w:val="36"/>
        </w:rPr>
        <w:t xml:space="preserve"> Releases </w:t>
      </w:r>
      <w:r w:rsidR="00777BD0">
        <w:rPr>
          <w:rFonts w:ascii="Cambria" w:hAnsi="Cambria"/>
          <w:b/>
          <w:color w:val="17365D"/>
          <w:spacing w:val="5"/>
          <w:kern w:val="28"/>
          <w:sz w:val="36"/>
          <w:szCs w:val="36"/>
        </w:rPr>
        <w:t>201</w:t>
      </w:r>
      <w:r w:rsidR="0087272D">
        <w:rPr>
          <w:rFonts w:ascii="Cambria" w:hAnsi="Cambria"/>
          <w:b/>
          <w:color w:val="17365D"/>
          <w:spacing w:val="5"/>
          <w:kern w:val="28"/>
          <w:sz w:val="36"/>
          <w:szCs w:val="36"/>
        </w:rPr>
        <w:t>9</w:t>
      </w:r>
      <w:r w:rsidR="00777BD0">
        <w:rPr>
          <w:rFonts w:ascii="Cambria" w:hAnsi="Cambria"/>
          <w:b/>
          <w:color w:val="17365D"/>
          <w:spacing w:val="5"/>
          <w:kern w:val="28"/>
          <w:sz w:val="36"/>
          <w:szCs w:val="36"/>
        </w:rPr>
        <w:t xml:space="preserve"> </w:t>
      </w:r>
      <w:r w:rsidR="00176454" w:rsidRPr="00FC2FBD">
        <w:rPr>
          <w:rFonts w:ascii="Cambria" w:hAnsi="Cambria"/>
          <w:b/>
          <w:color w:val="17365D"/>
          <w:spacing w:val="5"/>
          <w:kern w:val="28"/>
          <w:sz w:val="36"/>
          <w:szCs w:val="36"/>
        </w:rPr>
        <w:t>Basic Allowance for Housing Rates</w:t>
      </w:r>
    </w:p>
    <w:p w:rsidR="00613803" w:rsidRDefault="00613803" w:rsidP="00B006C5">
      <w:pPr>
        <w:spacing w:after="0" w:line="240" w:lineRule="auto"/>
        <w:rPr>
          <w:szCs w:val="24"/>
        </w:rPr>
      </w:pPr>
    </w:p>
    <w:p w:rsidR="0079553D" w:rsidRDefault="00176454" w:rsidP="00334613">
      <w:pPr>
        <w:spacing w:after="0" w:line="240" w:lineRule="auto"/>
      </w:pPr>
      <w:r w:rsidRPr="002E74B2">
        <w:rPr>
          <w:szCs w:val="24"/>
        </w:rPr>
        <w:t xml:space="preserve">The </w:t>
      </w:r>
      <w:r>
        <w:rPr>
          <w:szCs w:val="24"/>
        </w:rPr>
        <w:t xml:space="preserve">Department of Defense has released the </w:t>
      </w:r>
      <w:r w:rsidR="00777BD0">
        <w:rPr>
          <w:szCs w:val="24"/>
        </w:rPr>
        <w:t>20</w:t>
      </w:r>
      <w:r w:rsidR="0058016B">
        <w:rPr>
          <w:szCs w:val="24"/>
        </w:rPr>
        <w:t>19</w:t>
      </w:r>
      <w:r w:rsidR="00777BD0" w:rsidRPr="002E74B2">
        <w:rPr>
          <w:szCs w:val="24"/>
        </w:rPr>
        <w:t xml:space="preserve"> </w:t>
      </w:r>
      <w:r w:rsidRPr="002E74B2">
        <w:rPr>
          <w:szCs w:val="24"/>
        </w:rPr>
        <w:t>Basic Allowance for Housing rate</w:t>
      </w:r>
      <w:r>
        <w:rPr>
          <w:szCs w:val="24"/>
        </w:rPr>
        <w:t>s</w:t>
      </w:r>
      <w:r w:rsidRPr="002E74B2">
        <w:rPr>
          <w:szCs w:val="24"/>
        </w:rPr>
        <w:t xml:space="preserve">.  </w:t>
      </w:r>
      <w:r w:rsidR="00B006C5" w:rsidRPr="002E74B2">
        <w:rPr>
          <w:szCs w:val="24"/>
        </w:rPr>
        <w:t>Basic Allowance for Housing</w:t>
      </w:r>
      <w:r>
        <w:rPr>
          <w:szCs w:val="24"/>
        </w:rPr>
        <w:t xml:space="preserve"> rat</w:t>
      </w:r>
      <w:r w:rsidR="009641AE">
        <w:rPr>
          <w:szCs w:val="24"/>
        </w:rPr>
        <w:t xml:space="preserve">es will increase an average of </w:t>
      </w:r>
      <w:r w:rsidR="00DA59B6">
        <w:rPr>
          <w:szCs w:val="24"/>
        </w:rPr>
        <w:t>2.</w:t>
      </w:r>
      <w:r w:rsidR="002F7441">
        <w:rPr>
          <w:szCs w:val="24"/>
        </w:rPr>
        <w:t>55</w:t>
      </w:r>
      <w:r>
        <w:rPr>
          <w:szCs w:val="24"/>
        </w:rPr>
        <w:t xml:space="preserve"> percent when the new rates take </w:t>
      </w:r>
      <w:r w:rsidR="003410F0">
        <w:rPr>
          <w:szCs w:val="24"/>
        </w:rPr>
        <w:t xml:space="preserve">effect on January 1, </w:t>
      </w:r>
      <w:r w:rsidR="00777BD0">
        <w:rPr>
          <w:szCs w:val="24"/>
        </w:rPr>
        <w:t>20</w:t>
      </w:r>
      <w:r w:rsidR="00DA59B6">
        <w:rPr>
          <w:szCs w:val="24"/>
        </w:rPr>
        <w:t>19</w:t>
      </w:r>
      <w:r w:rsidRPr="002E74B2">
        <w:rPr>
          <w:szCs w:val="24"/>
        </w:rPr>
        <w:t xml:space="preserve">.  </w:t>
      </w:r>
      <w:r w:rsidR="00865963">
        <w:rPr>
          <w:szCs w:val="24"/>
        </w:rPr>
        <w:t>A</w:t>
      </w:r>
      <w:r w:rsidR="009F7AFD">
        <w:rPr>
          <w:szCs w:val="24"/>
        </w:rPr>
        <w:t>n</w:t>
      </w:r>
      <w:r w:rsidRPr="00C919D4">
        <w:rPr>
          <w:szCs w:val="24"/>
        </w:rPr>
        <w:t xml:space="preserve"> estimated </w:t>
      </w:r>
      <w:r w:rsidR="004C1A76" w:rsidRPr="00736BC5">
        <w:rPr>
          <w:szCs w:val="24"/>
        </w:rPr>
        <w:t>$21</w:t>
      </w:r>
      <w:r w:rsidRPr="00736BC5">
        <w:rPr>
          <w:szCs w:val="24"/>
        </w:rPr>
        <w:t xml:space="preserve"> billion will</w:t>
      </w:r>
      <w:r w:rsidRPr="00C919D4">
        <w:rPr>
          <w:szCs w:val="24"/>
        </w:rPr>
        <w:t xml:space="preserve"> be paid to </w:t>
      </w:r>
      <w:r>
        <w:rPr>
          <w:szCs w:val="24"/>
        </w:rPr>
        <w:t>approximately</w:t>
      </w:r>
      <w:r w:rsidRPr="00C919D4">
        <w:rPr>
          <w:szCs w:val="24"/>
        </w:rPr>
        <w:t xml:space="preserve"> </w:t>
      </w:r>
      <w:r>
        <w:rPr>
          <w:szCs w:val="24"/>
        </w:rPr>
        <w:t>one million</w:t>
      </w:r>
      <w:r w:rsidR="0079553D">
        <w:rPr>
          <w:szCs w:val="24"/>
        </w:rPr>
        <w:t xml:space="preserve"> Service m</w:t>
      </w:r>
      <w:r w:rsidRPr="00C919D4">
        <w:rPr>
          <w:szCs w:val="24"/>
        </w:rPr>
        <w:t xml:space="preserve">embers. </w:t>
      </w:r>
      <w:r w:rsidR="0079553D">
        <w:rPr>
          <w:szCs w:val="24"/>
        </w:rPr>
        <w:t xml:space="preserve"> </w:t>
      </w:r>
    </w:p>
    <w:p w:rsidR="0079553D" w:rsidRDefault="0079553D" w:rsidP="00B006C5">
      <w:pPr>
        <w:spacing w:after="0" w:line="240" w:lineRule="auto"/>
        <w:rPr>
          <w:szCs w:val="24"/>
        </w:rPr>
      </w:pPr>
    </w:p>
    <w:p w:rsidR="00BE55D9" w:rsidRDefault="001B65CD" w:rsidP="00BE55D9">
      <w:pPr>
        <w:spacing w:after="0" w:line="240" w:lineRule="auto"/>
      </w:pPr>
      <w:r>
        <w:t xml:space="preserve">Continuing to </w:t>
      </w:r>
      <w:r w:rsidR="00105213">
        <w:t xml:space="preserve">balance </w:t>
      </w:r>
      <w:r w:rsidR="00984031">
        <w:t xml:space="preserve">the growth in compensation costs, the </w:t>
      </w:r>
      <w:r w:rsidR="00777BD0">
        <w:t>20</w:t>
      </w:r>
      <w:r w:rsidR="00DA59B6">
        <w:t>19</w:t>
      </w:r>
      <w:r w:rsidR="00777BD0">
        <w:t xml:space="preserve"> </w:t>
      </w:r>
      <w:r w:rsidR="00984031">
        <w:t xml:space="preserve">Basic Allowance for Housing </w:t>
      </w:r>
      <w:r w:rsidR="002005AB">
        <w:t>p</w:t>
      </w:r>
      <w:r w:rsidR="00984031">
        <w:t xml:space="preserve">rogram </w:t>
      </w:r>
      <w:r>
        <w:t>expands the member cost-sharing element (out-of-pocket expense).  Based on the authority provided in the FY 2016</w:t>
      </w:r>
      <w:r w:rsidR="001242FD">
        <w:rPr>
          <w:rFonts w:asciiTheme="minorHAnsi" w:hAnsiTheme="minorHAnsi"/>
        </w:rPr>
        <w:t xml:space="preserve"> National Defense Authorization Act, </w:t>
      </w:r>
      <w:r>
        <w:rPr>
          <w:rFonts w:asciiTheme="minorHAnsi" w:hAnsiTheme="minorHAnsi"/>
        </w:rPr>
        <w:t xml:space="preserve">the </w:t>
      </w:r>
      <w:r w:rsidR="001428DF">
        <w:rPr>
          <w:rFonts w:asciiTheme="minorHAnsi" w:hAnsiTheme="minorHAnsi"/>
        </w:rPr>
        <w:t>cost-sharing element</w:t>
      </w:r>
      <w:r>
        <w:rPr>
          <w:rFonts w:asciiTheme="minorHAnsi" w:hAnsiTheme="minorHAnsi"/>
        </w:rPr>
        <w:t xml:space="preserve"> was increased to </w:t>
      </w:r>
      <w:r w:rsidR="00DA59B6">
        <w:rPr>
          <w:rFonts w:asciiTheme="minorHAnsi" w:hAnsiTheme="minorHAnsi"/>
        </w:rPr>
        <w:t>five</w:t>
      </w:r>
      <w:r w:rsidR="00777BD0">
        <w:rPr>
          <w:rFonts w:asciiTheme="minorHAnsi" w:hAnsiTheme="minorHAnsi"/>
        </w:rPr>
        <w:t xml:space="preserve"> </w:t>
      </w:r>
      <w:r>
        <w:rPr>
          <w:rFonts w:asciiTheme="minorHAnsi" w:hAnsiTheme="minorHAnsi"/>
        </w:rPr>
        <w:t>percent.</w:t>
      </w:r>
      <w:r w:rsidR="002005AB">
        <w:rPr>
          <w:rFonts w:asciiTheme="minorHAnsi" w:hAnsiTheme="minorHAnsi"/>
        </w:rPr>
        <w:t xml:space="preserve">  For 20</w:t>
      </w:r>
      <w:r w:rsidR="00DA59B6">
        <w:rPr>
          <w:rFonts w:asciiTheme="minorHAnsi" w:hAnsiTheme="minorHAnsi"/>
        </w:rPr>
        <w:t>19</w:t>
      </w:r>
      <w:r w:rsidR="002005AB">
        <w:rPr>
          <w:rFonts w:asciiTheme="minorHAnsi" w:hAnsiTheme="minorHAnsi"/>
        </w:rPr>
        <w:t>, a typical member will need to absorb f</w:t>
      </w:r>
      <w:r w:rsidR="00DA59B6">
        <w:rPr>
          <w:rFonts w:asciiTheme="minorHAnsi" w:hAnsiTheme="minorHAnsi"/>
        </w:rPr>
        <w:t>ive</w:t>
      </w:r>
      <w:r w:rsidR="002005AB">
        <w:rPr>
          <w:rFonts w:asciiTheme="minorHAnsi" w:hAnsiTheme="minorHAnsi"/>
        </w:rPr>
        <w:t xml:space="preserve"> percent of the national average housing cost by pay grade.</w:t>
      </w:r>
      <w:r w:rsidR="00637888">
        <w:rPr>
          <w:rFonts w:asciiTheme="minorHAnsi" w:hAnsiTheme="minorHAnsi"/>
        </w:rPr>
        <w:t xml:space="preserve"> </w:t>
      </w:r>
      <w:r w:rsidR="00637888">
        <w:t xml:space="preserve">The </w:t>
      </w:r>
      <w:r w:rsidR="00F17EDD">
        <w:t>out-of-pocket</w:t>
      </w:r>
      <w:r w:rsidR="00637888">
        <w:t xml:space="preserve"> amounts incorporated in the </w:t>
      </w:r>
      <w:r w:rsidR="00777BD0">
        <w:t>20</w:t>
      </w:r>
      <w:r w:rsidR="00DA59B6">
        <w:t>19</w:t>
      </w:r>
      <w:r w:rsidR="00777BD0">
        <w:t xml:space="preserve"> </w:t>
      </w:r>
      <w:r w:rsidR="00637888">
        <w:t xml:space="preserve">Basic Allowance for Housing rates vary by grade and dependency status and range from </w:t>
      </w:r>
      <w:r w:rsidR="00637888" w:rsidRPr="009377A1">
        <w:t>$</w:t>
      </w:r>
      <w:r w:rsidR="00DA59B6">
        <w:t>66</w:t>
      </w:r>
      <w:r w:rsidR="00777BD0" w:rsidRPr="009377A1">
        <w:t xml:space="preserve"> </w:t>
      </w:r>
      <w:r w:rsidR="00637888" w:rsidRPr="009377A1">
        <w:t>to $</w:t>
      </w:r>
      <w:r w:rsidR="00DA59B6">
        <w:t>149</w:t>
      </w:r>
      <w:r w:rsidR="00777BD0" w:rsidRPr="00AB72F7">
        <w:t xml:space="preserve"> </w:t>
      </w:r>
      <w:r w:rsidR="00637888" w:rsidRPr="00AB72F7">
        <w:t>m</w:t>
      </w:r>
      <w:r w:rsidR="00637888">
        <w:t xml:space="preserve">onthly.  </w:t>
      </w:r>
      <w:r w:rsidR="00BE55D9">
        <w:rPr>
          <w:rFonts w:asciiTheme="minorHAnsi" w:hAnsiTheme="minorHAnsi"/>
        </w:rPr>
        <w:t>Th</w:t>
      </w:r>
      <w:r>
        <w:rPr>
          <w:rFonts w:asciiTheme="minorHAnsi" w:hAnsiTheme="minorHAnsi"/>
        </w:rPr>
        <w:t>is</w:t>
      </w:r>
      <w:r w:rsidR="00BE55D9">
        <w:rPr>
          <w:rFonts w:asciiTheme="minorHAnsi" w:hAnsiTheme="minorHAnsi"/>
        </w:rPr>
        <w:t xml:space="preserve"> rate computation change </w:t>
      </w:r>
      <w:r w:rsidR="00105213">
        <w:rPr>
          <w:rFonts w:asciiTheme="minorHAnsi" w:hAnsiTheme="minorHAnsi"/>
        </w:rPr>
        <w:t xml:space="preserve">balances </w:t>
      </w:r>
      <w:r w:rsidR="00BE55D9">
        <w:rPr>
          <w:rFonts w:asciiTheme="minorHAnsi" w:hAnsiTheme="minorHAnsi"/>
        </w:rPr>
        <w:t xml:space="preserve">the growth of certain military pay and benefits in a fair, responsible, and sustainable way. Even with these nominal changes, the overall military pay and benefits package remains robust and healthy. </w:t>
      </w:r>
    </w:p>
    <w:p w:rsidR="00334613" w:rsidRDefault="00334613" w:rsidP="00334613">
      <w:pPr>
        <w:spacing w:after="0" w:line="240" w:lineRule="auto"/>
      </w:pPr>
    </w:p>
    <w:p w:rsidR="00176454" w:rsidRPr="00C919D4" w:rsidRDefault="008E3ED3" w:rsidP="00613803">
      <w:pPr>
        <w:spacing w:line="240" w:lineRule="auto"/>
        <w:rPr>
          <w:szCs w:val="24"/>
        </w:rPr>
      </w:pPr>
      <w:r>
        <w:rPr>
          <w:szCs w:val="24"/>
        </w:rPr>
        <w:t xml:space="preserve">Housing </w:t>
      </w:r>
      <w:r w:rsidR="00ED4755">
        <w:rPr>
          <w:szCs w:val="24"/>
        </w:rPr>
        <w:t xml:space="preserve">cost </w:t>
      </w:r>
      <w:r>
        <w:rPr>
          <w:szCs w:val="24"/>
        </w:rPr>
        <w:t>d</w:t>
      </w:r>
      <w:r w:rsidR="00176454" w:rsidRPr="00C919D4">
        <w:rPr>
          <w:szCs w:val="24"/>
        </w:rPr>
        <w:t xml:space="preserve">ata are collected annually for </w:t>
      </w:r>
      <w:r w:rsidR="00176454">
        <w:rPr>
          <w:szCs w:val="24"/>
        </w:rPr>
        <w:t>over 300</w:t>
      </w:r>
      <w:r w:rsidR="00B006C5">
        <w:rPr>
          <w:szCs w:val="24"/>
        </w:rPr>
        <w:t xml:space="preserve"> </w:t>
      </w:r>
      <w:r w:rsidR="009149C7">
        <w:rPr>
          <w:szCs w:val="24"/>
        </w:rPr>
        <w:t>m</w:t>
      </w:r>
      <w:r w:rsidR="00B006C5">
        <w:rPr>
          <w:szCs w:val="24"/>
        </w:rPr>
        <w:t xml:space="preserve">ilitary </w:t>
      </w:r>
      <w:r w:rsidR="009149C7">
        <w:rPr>
          <w:szCs w:val="24"/>
        </w:rPr>
        <w:t>h</w:t>
      </w:r>
      <w:r w:rsidR="00B006C5">
        <w:rPr>
          <w:szCs w:val="24"/>
        </w:rPr>
        <w:t xml:space="preserve">ousing </w:t>
      </w:r>
      <w:r w:rsidR="009149C7">
        <w:rPr>
          <w:szCs w:val="24"/>
        </w:rPr>
        <w:t>a</w:t>
      </w:r>
      <w:r w:rsidR="00B006C5">
        <w:rPr>
          <w:szCs w:val="24"/>
        </w:rPr>
        <w:t xml:space="preserve">reas </w:t>
      </w:r>
      <w:r w:rsidR="00176454" w:rsidRPr="00C919D4">
        <w:rPr>
          <w:szCs w:val="24"/>
        </w:rPr>
        <w:t xml:space="preserve">in the United States, including Alaska and Hawaii.  An important part of the </w:t>
      </w:r>
      <w:r w:rsidR="00B006C5" w:rsidRPr="002E74B2">
        <w:rPr>
          <w:szCs w:val="24"/>
        </w:rPr>
        <w:t>Basic Allowance for Housing</w:t>
      </w:r>
      <w:r w:rsidR="00176454" w:rsidRPr="00C919D4">
        <w:rPr>
          <w:szCs w:val="24"/>
        </w:rPr>
        <w:t xml:space="preserve"> process is the cooperation from the </w:t>
      </w:r>
      <w:r w:rsidR="00176454">
        <w:rPr>
          <w:szCs w:val="24"/>
        </w:rPr>
        <w:t>S</w:t>
      </w:r>
      <w:r w:rsidR="00176454" w:rsidRPr="00C919D4">
        <w:rPr>
          <w:szCs w:val="24"/>
        </w:rPr>
        <w:t>ervices and local military housing offices in the data collection effort.  Input from local commands is used to determine in what neighborhoods data is collected and to direct the data collection effort towards adequate apartment complexes and individual housing units.</w:t>
      </w:r>
    </w:p>
    <w:p w:rsidR="0079553D" w:rsidRDefault="00B006C5" w:rsidP="00613803">
      <w:pPr>
        <w:spacing w:line="240" w:lineRule="auto"/>
        <w:rPr>
          <w:szCs w:val="24"/>
        </w:rPr>
      </w:pPr>
      <w:r>
        <w:rPr>
          <w:szCs w:val="24"/>
        </w:rPr>
        <w:t>M</w:t>
      </w:r>
      <w:r w:rsidRPr="002E74B2">
        <w:rPr>
          <w:szCs w:val="24"/>
        </w:rPr>
        <w:t>edian current market rent</w:t>
      </w:r>
      <w:r>
        <w:rPr>
          <w:szCs w:val="24"/>
        </w:rPr>
        <w:t xml:space="preserve"> and a</w:t>
      </w:r>
      <w:r w:rsidRPr="002E74B2">
        <w:rPr>
          <w:szCs w:val="24"/>
        </w:rPr>
        <w:t>verage utilities</w:t>
      </w:r>
      <w:r>
        <w:rPr>
          <w:szCs w:val="24"/>
        </w:rPr>
        <w:t xml:space="preserve"> </w:t>
      </w:r>
      <w:r w:rsidRPr="002E74B2">
        <w:rPr>
          <w:szCs w:val="24"/>
        </w:rPr>
        <w:t>(including electricity, heat, and water/sewer</w:t>
      </w:r>
      <w:r>
        <w:rPr>
          <w:szCs w:val="24"/>
        </w:rPr>
        <w:t>)</w:t>
      </w:r>
      <w:r w:rsidRPr="002E74B2">
        <w:rPr>
          <w:szCs w:val="24"/>
        </w:rPr>
        <w:t xml:space="preserve"> </w:t>
      </w:r>
      <w:r w:rsidR="00176454">
        <w:rPr>
          <w:szCs w:val="24"/>
        </w:rPr>
        <w:t xml:space="preserve">comprise the total housing cost for each </w:t>
      </w:r>
      <w:r>
        <w:rPr>
          <w:szCs w:val="24"/>
        </w:rPr>
        <w:t>military housing area</w:t>
      </w:r>
      <w:r w:rsidR="00176454">
        <w:rPr>
          <w:szCs w:val="24"/>
        </w:rPr>
        <w:t xml:space="preserve"> and </w:t>
      </w:r>
      <w:r w:rsidR="00176454" w:rsidRPr="002E74B2">
        <w:rPr>
          <w:szCs w:val="24"/>
        </w:rPr>
        <w:t xml:space="preserve">are included in the </w:t>
      </w:r>
      <w:r w:rsidRPr="00C630C4">
        <w:rPr>
          <w:rFonts w:asciiTheme="minorHAnsi" w:hAnsiTheme="minorHAnsi"/>
        </w:rPr>
        <w:t>Basic Allowance for Housing</w:t>
      </w:r>
      <w:r w:rsidRPr="00A87C1B">
        <w:rPr>
          <w:bCs/>
          <w:color w:val="000000"/>
        </w:rPr>
        <w:t xml:space="preserve"> </w:t>
      </w:r>
      <w:r w:rsidR="00176454" w:rsidRPr="002E74B2">
        <w:rPr>
          <w:szCs w:val="24"/>
        </w:rPr>
        <w:t>computation</w:t>
      </w:r>
      <w:r>
        <w:rPr>
          <w:szCs w:val="24"/>
        </w:rPr>
        <w:t>.</w:t>
      </w:r>
      <w:r w:rsidR="00176454">
        <w:rPr>
          <w:szCs w:val="24"/>
        </w:rPr>
        <w:t xml:space="preserve"> </w:t>
      </w:r>
      <w:r w:rsidR="00176454" w:rsidRPr="00C919D4">
        <w:rPr>
          <w:szCs w:val="24"/>
        </w:rPr>
        <w:t>To</w:t>
      </w:r>
      <w:r w:rsidR="00176454">
        <w:rPr>
          <w:szCs w:val="24"/>
        </w:rPr>
        <w:t xml:space="preserve">tal housing costs are developed </w:t>
      </w:r>
      <w:r w:rsidR="00176454" w:rsidRPr="00C919D4">
        <w:rPr>
          <w:szCs w:val="24"/>
        </w:rPr>
        <w:t xml:space="preserve">for six housing profiles (based on dwelling type and number of bedrooms) in each </w:t>
      </w:r>
      <w:r>
        <w:rPr>
          <w:szCs w:val="24"/>
        </w:rPr>
        <w:t xml:space="preserve">military housing area. </w:t>
      </w:r>
      <w:r w:rsidRPr="002E74B2">
        <w:rPr>
          <w:szCs w:val="24"/>
        </w:rPr>
        <w:t>Basic Allowance for Housing</w:t>
      </w:r>
      <w:r w:rsidR="00176454" w:rsidRPr="00C919D4">
        <w:rPr>
          <w:szCs w:val="24"/>
        </w:rPr>
        <w:t xml:space="preserve"> rates are then calculated for each pay grade, both with and without dependents. </w:t>
      </w:r>
    </w:p>
    <w:p w:rsidR="0079553D" w:rsidRDefault="0079553D" w:rsidP="0079553D">
      <w:pPr>
        <w:spacing w:line="240" w:lineRule="auto"/>
        <w:rPr>
          <w:szCs w:val="24"/>
        </w:rPr>
      </w:pPr>
      <w:r>
        <w:rPr>
          <w:szCs w:val="24"/>
        </w:rPr>
        <w:t xml:space="preserve">An integral part of the </w:t>
      </w:r>
      <w:r w:rsidRPr="002E74B2">
        <w:rPr>
          <w:szCs w:val="24"/>
        </w:rPr>
        <w:t>Basic Allowance for Housing</w:t>
      </w:r>
      <w:r>
        <w:rPr>
          <w:szCs w:val="24"/>
        </w:rPr>
        <w:t xml:space="preserve"> program is the provision of individual rate protection to all members.  </w:t>
      </w:r>
      <w:r w:rsidRPr="002E74B2">
        <w:rPr>
          <w:szCs w:val="24"/>
        </w:rPr>
        <w:t>No matter what happens to measured housing costs</w:t>
      </w:r>
      <w:r w:rsidR="001242FD">
        <w:rPr>
          <w:szCs w:val="24"/>
        </w:rPr>
        <w:t xml:space="preserve"> – including the out-of-pocket </w:t>
      </w:r>
      <w:r w:rsidR="00EE6DA7">
        <w:rPr>
          <w:szCs w:val="24"/>
        </w:rPr>
        <w:t>adjustment</w:t>
      </w:r>
      <w:r w:rsidRPr="002E74B2">
        <w:rPr>
          <w:szCs w:val="24"/>
        </w:rPr>
        <w:t xml:space="preserve">, an individual </w:t>
      </w:r>
      <w:r w:rsidRPr="00241A04">
        <w:rPr>
          <w:szCs w:val="24"/>
        </w:rPr>
        <w:t>member</w:t>
      </w:r>
      <w:r w:rsidRPr="00241A04">
        <w:t xml:space="preserve"> who maintains uninterrupted </w:t>
      </w:r>
      <w:r w:rsidRPr="002E74B2">
        <w:rPr>
          <w:szCs w:val="24"/>
        </w:rPr>
        <w:t>Basic Allowance for Housing</w:t>
      </w:r>
      <w:r w:rsidRPr="00241A04">
        <w:t xml:space="preserve"> eligibility </w:t>
      </w:r>
      <w:r w:rsidRPr="00241A04">
        <w:rPr>
          <w:szCs w:val="24"/>
        </w:rPr>
        <w:t>in a given location</w:t>
      </w:r>
      <w:r w:rsidRPr="002E74B2">
        <w:rPr>
          <w:szCs w:val="24"/>
        </w:rPr>
        <w:t xml:space="preserve"> will not see his/her Basic Allowance for Housing</w:t>
      </w:r>
      <w:r>
        <w:rPr>
          <w:szCs w:val="24"/>
        </w:rPr>
        <w:t xml:space="preserve"> </w:t>
      </w:r>
      <w:r w:rsidRPr="002E74B2">
        <w:rPr>
          <w:szCs w:val="24"/>
        </w:rPr>
        <w:t xml:space="preserve">rate decrease.  This </w:t>
      </w:r>
      <w:r>
        <w:rPr>
          <w:szCs w:val="24"/>
        </w:rPr>
        <w:t>ens</w:t>
      </w:r>
      <w:r w:rsidRPr="002E74B2">
        <w:rPr>
          <w:szCs w:val="24"/>
        </w:rPr>
        <w:t xml:space="preserve">ures that members who have made long-term commitments in the form of a lease or contract are not penalized if the area's housing costs decrease.  </w:t>
      </w:r>
    </w:p>
    <w:p w:rsidR="00176454" w:rsidRDefault="00176454" w:rsidP="00613803">
      <w:pPr>
        <w:spacing w:line="240" w:lineRule="auto"/>
        <w:rPr>
          <w:szCs w:val="24"/>
        </w:rPr>
      </w:pPr>
      <w:r>
        <w:rPr>
          <w:szCs w:val="24"/>
        </w:rPr>
        <w:t>The Department is</w:t>
      </w:r>
      <w:r w:rsidRPr="002E74B2">
        <w:rPr>
          <w:szCs w:val="24"/>
        </w:rPr>
        <w:t xml:space="preserve"> committ</w:t>
      </w:r>
      <w:r>
        <w:rPr>
          <w:szCs w:val="24"/>
        </w:rPr>
        <w:t>ed</w:t>
      </w:r>
      <w:r w:rsidRPr="002E74B2">
        <w:rPr>
          <w:szCs w:val="24"/>
        </w:rPr>
        <w:t xml:space="preserve"> to the preservation of a compensation and benefit structure that provides members with a suitable and secure standard of living to sustain a trained, experienced, and ready force </w:t>
      </w:r>
      <w:r w:rsidR="00BE55D9">
        <w:rPr>
          <w:szCs w:val="24"/>
        </w:rPr>
        <w:t xml:space="preserve">now and </w:t>
      </w:r>
      <w:r w:rsidRPr="002E74B2">
        <w:rPr>
          <w:szCs w:val="24"/>
        </w:rPr>
        <w:t xml:space="preserve">in the future. </w:t>
      </w:r>
    </w:p>
    <w:p w:rsidR="00D96FC0" w:rsidRDefault="00176454" w:rsidP="00637888">
      <w:pPr>
        <w:spacing w:line="240" w:lineRule="auto"/>
      </w:pPr>
      <w:r>
        <w:rPr>
          <w:szCs w:val="24"/>
        </w:rPr>
        <w:t xml:space="preserve">For more information on </w:t>
      </w:r>
      <w:r w:rsidR="00B006C5" w:rsidRPr="002E74B2">
        <w:rPr>
          <w:szCs w:val="24"/>
        </w:rPr>
        <w:t>Basic Allowance for Housing</w:t>
      </w:r>
      <w:r>
        <w:rPr>
          <w:szCs w:val="24"/>
        </w:rPr>
        <w:t>,</w:t>
      </w:r>
      <w:r w:rsidRPr="00DB4223">
        <w:rPr>
          <w:szCs w:val="24"/>
        </w:rPr>
        <w:t xml:space="preserve"> </w:t>
      </w:r>
      <w:r w:rsidRPr="00C95A04">
        <w:rPr>
          <w:szCs w:val="24"/>
        </w:rPr>
        <w:t xml:space="preserve">including the </w:t>
      </w:r>
      <w:r w:rsidR="00777BD0" w:rsidRPr="00C95A04">
        <w:rPr>
          <w:szCs w:val="24"/>
        </w:rPr>
        <w:t>201</w:t>
      </w:r>
      <w:r w:rsidR="00DA59B6">
        <w:rPr>
          <w:szCs w:val="24"/>
        </w:rPr>
        <w:t>9</w:t>
      </w:r>
      <w:r w:rsidR="00777BD0" w:rsidRPr="00C95A04">
        <w:rPr>
          <w:szCs w:val="24"/>
        </w:rPr>
        <w:t xml:space="preserve"> </w:t>
      </w:r>
      <w:r w:rsidR="00B006C5" w:rsidRPr="002E74B2">
        <w:rPr>
          <w:szCs w:val="24"/>
        </w:rPr>
        <w:t>Basic Allowance for Housing</w:t>
      </w:r>
      <w:r w:rsidRPr="00C95A04">
        <w:rPr>
          <w:szCs w:val="24"/>
        </w:rPr>
        <w:t xml:space="preserve"> rates and </w:t>
      </w:r>
      <w:r w:rsidR="00777BD0" w:rsidRPr="00C95A04">
        <w:rPr>
          <w:szCs w:val="24"/>
        </w:rPr>
        <w:t>201</w:t>
      </w:r>
      <w:r w:rsidR="00DA59B6">
        <w:rPr>
          <w:szCs w:val="24"/>
        </w:rPr>
        <w:t>9</w:t>
      </w:r>
      <w:r w:rsidR="00777BD0" w:rsidRPr="00C95A04">
        <w:rPr>
          <w:szCs w:val="24"/>
        </w:rPr>
        <w:t xml:space="preserve"> </w:t>
      </w:r>
      <w:r w:rsidR="00B006C5" w:rsidRPr="002E74B2">
        <w:rPr>
          <w:szCs w:val="24"/>
        </w:rPr>
        <w:t>Basic Allowance for Housing</w:t>
      </w:r>
      <w:r w:rsidR="008E3ED3">
        <w:rPr>
          <w:szCs w:val="24"/>
        </w:rPr>
        <w:t xml:space="preserve"> rate component breakdown</w:t>
      </w:r>
      <w:r>
        <w:rPr>
          <w:szCs w:val="24"/>
        </w:rPr>
        <w:t xml:space="preserve">, visit </w:t>
      </w:r>
      <w:hyperlink r:id="rId5" w:history="1">
        <w:r w:rsidRPr="00FD7030">
          <w:rPr>
            <w:rStyle w:val="Hyperlink"/>
            <w:szCs w:val="24"/>
          </w:rPr>
          <w:t>https://www.defensetravel.dod.mil/site/bah.cfm</w:t>
        </w:r>
      </w:hyperlink>
      <w:r>
        <w:rPr>
          <w:szCs w:val="24"/>
        </w:rPr>
        <w:t xml:space="preserve">.  </w:t>
      </w:r>
      <w:r w:rsidRPr="00C95A04">
        <w:rPr>
          <w:szCs w:val="24"/>
        </w:rPr>
        <w:t xml:space="preserve">Service members can calculate their BAH payment by using the </w:t>
      </w:r>
      <w:r w:rsidR="00B006C5" w:rsidRPr="002E74B2">
        <w:rPr>
          <w:szCs w:val="24"/>
        </w:rPr>
        <w:t>Basic Allowance for Housing</w:t>
      </w:r>
      <w:r w:rsidRPr="00C95A04">
        <w:rPr>
          <w:szCs w:val="24"/>
        </w:rPr>
        <w:t xml:space="preserve"> calculator at:</w:t>
      </w:r>
      <w:r w:rsidR="00A8322D">
        <w:rPr>
          <w:szCs w:val="24"/>
        </w:rPr>
        <w:t xml:space="preserve"> </w:t>
      </w:r>
      <w:hyperlink r:id="rId6" w:history="1">
        <w:r w:rsidR="00A8322D" w:rsidRPr="00BE148E">
          <w:rPr>
            <w:rStyle w:val="Hyperlink"/>
            <w:szCs w:val="24"/>
          </w:rPr>
          <w:t>http://www.defensetravel.dod.mil/site/bahCalc.cfm</w:t>
        </w:r>
      </w:hyperlink>
      <w:r w:rsidR="00030D54">
        <w:rPr>
          <w:szCs w:val="24"/>
        </w:rPr>
        <w:t>.</w:t>
      </w:r>
      <w:r w:rsidR="0013313A">
        <w:t xml:space="preserve"> </w:t>
      </w:r>
    </w:p>
    <w:p w:rsidR="00077F19" w:rsidRDefault="00077F19"/>
    <w:sectPr w:rsidR="00077F19" w:rsidSect="00A669BF">
      <w:pgSz w:w="12240" w:h="15840"/>
      <w:pgMar w:top="1170" w:right="135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50910"/>
    <w:multiLevelType w:val="hybridMultilevel"/>
    <w:tmpl w:val="469C3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B3A09C9"/>
    <w:multiLevelType w:val="hybridMultilevel"/>
    <w:tmpl w:val="3F80A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2A2B3E"/>
    <w:multiLevelType w:val="hybridMultilevel"/>
    <w:tmpl w:val="76FC292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454"/>
    <w:rsid w:val="000001FC"/>
    <w:rsid w:val="00025625"/>
    <w:rsid w:val="00030D54"/>
    <w:rsid w:val="000454F7"/>
    <w:rsid w:val="0005370F"/>
    <w:rsid w:val="00056C43"/>
    <w:rsid w:val="00077F19"/>
    <w:rsid w:val="00093088"/>
    <w:rsid w:val="00096CE7"/>
    <w:rsid w:val="000A1248"/>
    <w:rsid w:val="000A593B"/>
    <w:rsid w:val="000C60E5"/>
    <w:rsid w:val="000C76A5"/>
    <w:rsid w:val="00105213"/>
    <w:rsid w:val="00107660"/>
    <w:rsid w:val="00124072"/>
    <w:rsid w:val="001242FD"/>
    <w:rsid w:val="00125037"/>
    <w:rsid w:val="0013313A"/>
    <w:rsid w:val="001354E3"/>
    <w:rsid w:val="001428DF"/>
    <w:rsid w:val="00176454"/>
    <w:rsid w:val="001B65CD"/>
    <w:rsid w:val="002005AB"/>
    <w:rsid w:val="00200CF3"/>
    <w:rsid w:val="002226E7"/>
    <w:rsid w:val="00233473"/>
    <w:rsid w:val="00266725"/>
    <w:rsid w:val="00270D97"/>
    <w:rsid w:val="002A119C"/>
    <w:rsid w:val="002B2164"/>
    <w:rsid w:val="002F7441"/>
    <w:rsid w:val="0033258F"/>
    <w:rsid w:val="00334613"/>
    <w:rsid w:val="003410F0"/>
    <w:rsid w:val="003F45DB"/>
    <w:rsid w:val="00411F88"/>
    <w:rsid w:val="00425CA5"/>
    <w:rsid w:val="00435D8C"/>
    <w:rsid w:val="00471653"/>
    <w:rsid w:val="004C1A76"/>
    <w:rsid w:val="005039DE"/>
    <w:rsid w:val="0058016B"/>
    <w:rsid w:val="005933E3"/>
    <w:rsid w:val="00601068"/>
    <w:rsid w:val="00613803"/>
    <w:rsid w:val="00637888"/>
    <w:rsid w:val="00640247"/>
    <w:rsid w:val="006662D0"/>
    <w:rsid w:val="00693A68"/>
    <w:rsid w:val="006A7F42"/>
    <w:rsid w:val="006B1BB2"/>
    <w:rsid w:val="006E0967"/>
    <w:rsid w:val="006E6C6D"/>
    <w:rsid w:val="00707E5C"/>
    <w:rsid w:val="00736BC5"/>
    <w:rsid w:val="00743BD9"/>
    <w:rsid w:val="0074693C"/>
    <w:rsid w:val="00777BD0"/>
    <w:rsid w:val="007806D7"/>
    <w:rsid w:val="00794A08"/>
    <w:rsid w:val="0079553D"/>
    <w:rsid w:val="00797378"/>
    <w:rsid w:val="007A136A"/>
    <w:rsid w:val="008247D0"/>
    <w:rsid w:val="00827B45"/>
    <w:rsid w:val="00855809"/>
    <w:rsid w:val="008563A2"/>
    <w:rsid w:val="00865963"/>
    <w:rsid w:val="0087272D"/>
    <w:rsid w:val="008979F2"/>
    <w:rsid w:val="008B469D"/>
    <w:rsid w:val="008E3ED3"/>
    <w:rsid w:val="009149C7"/>
    <w:rsid w:val="009377A1"/>
    <w:rsid w:val="009641AE"/>
    <w:rsid w:val="0097277B"/>
    <w:rsid w:val="00984031"/>
    <w:rsid w:val="009D2292"/>
    <w:rsid w:val="009E7122"/>
    <w:rsid w:val="009F7AFD"/>
    <w:rsid w:val="00A215AA"/>
    <w:rsid w:val="00A669BF"/>
    <w:rsid w:val="00A8322D"/>
    <w:rsid w:val="00AA27D5"/>
    <w:rsid w:val="00AB72F7"/>
    <w:rsid w:val="00B006C5"/>
    <w:rsid w:val="00B0509C"/>
    <w:rsid w:val="00B179B4"/>
    <w:rsid w:val="00B36806"/>
    <w:rsid w:val="00BD2BA9"/>
    <w:rsid w:val="00BE55D9"/>
    <w:rsid w:val="00C065C0"/>
    <w:rsid w:val="00C164C0"/>
    <w:rsid w:val="00C53338"/>
    <w:rsid w:val="00C65B10"/>
    <w:rsid w:val="00C921D0"/>
    <w:rsid w:val="00C92399"/>
    <w:rsid w:val="00C9641D"/>
    <w:rsid w:val="00CD0E73"/>
    <w:rsid w:val="00D53811"/>
    <w:rsid w:val="00D94FC0"/>
    <w:rsid w:val="00D96AD5"/>
    <w:rsid w:val="00D96FC0"/>
    <w:rsid w:val="00DA59B6"/>
    <w:rsid w:val="00E100E2"/>
    <w:rsid w:val="00E574F4"/>
    <w:rsid w:val="00E61FD0"/>
    <w:rsid w:val="00E65268"/>
    <w:rsid w:val="00E70D39"/>
    <w:rsid w:val="00E96D5F"/>
    <w:rsid w:val="00EC01CB"/>
    <w:rsid w:val="00ED4755"/>
    <w:rsid w:val="00EE6DA7"/>
    <w:rsid w:val="00F17EDD"/>
    <w:rsid w:val="00F24FF3"/>
    <w:rsid w:val="00F328B7"/>
    <w:rsid w:val="00F32EBD"/>
    <w:rsid w:val="00F66569"/>
    <w:rsid w:val="00F71421"/>
    <w:rsid w:val="00F93086"/>
    <w:rsid w:val="00FD5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17DEB"/>
  <w15:docId w15:val="{021B14E5-C962-4928-84E7-7355CBF70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45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454"/>
    <w:pPr>
      <w:ind w:left="720"/>
      <w:contextualSpacing/>
    </w:pPr>
  </w:style>
  <w:style w:type="character" w:styleId="Hyperlink">
    <w:name w:val="Hyperlink"/>
    <w:uiPriority w:val="99"/>
    <w:rsid w:val="00176454"/>
    <w:rPr>
      <w:rFonts w:cs="Times New Roman"/>
      <w:color w:val="0000FF"/>
      <w:u w:val="single"/>
    </w:rPr>
  </w:style>
  <w:style w:type="paragraph" w:styleId="BalloonText">
    <w:name w:val="Balloon Text"/>
    <w:basedOn w:val="Normal"/>
    <w:link w:val="BalloonTextChar"/>
    <w:uiPriority w:val="99"/>
    <w:semiHidden/>
    <w:unhideWhenUsed/>
    <w:rsid w:val="00176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454"/>
    <w:rPr>
      <w:rFonts w:ascii="Tahoma" w:eastAsia="Calibri" w:hAnsi="Tahoma" w:cs="Tahoma"/>
      <w:sz w:val="16"/>
      <w:szCs w:val="16"/>
    </w:rPr>
  </w:style>
  <w:style w:type="paragraph" w:styleId="NormalWeb">
    <w:name w:val="Normal (Web)"/>
    <w:basedOn w:val="Normal"/>
    <w:uiPriority w:val="99"/>
    <w:semiHidden/>
    <w:unhideWhenUsed/>
    <w:rsid w:val="00F66569"/>
    <w:pPr>
      <w:spacing w:before="100" w:beforeAutospacing="1" w:after="100" w:afterAutospacing="1" w:line="240" w:lineRule="auto"/>
    </w:pPr>
    <w:rPr>
      <w:rFonts w:ascii="Times New Roman" w:eastAsiaTheme="minorEastAsia" w:hAnsi="Times New Roman"/>
      <w:sz w:val="24"/>
      <w:szCs w:val="24"/>
    </w:rPr>
  </w:style>
  <w:style w:type="paragraph" w:styleId="PlainText">
    <w:name w:val="Plain Text"/>
    <w:basedOn w:val="Normal"/>
    <w:link w:val="PlainTextChar"/>
    <w:uiPriority w:val="99"/>
    <w:unhideWhenUsed/>
    <w:rsid w:val="00107660"/>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10766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fensetravel.dod.mil/site/bahCalc.cfm" TargetMode="External"/><Relationship Id="rId5" Type="http://schemas.openxmlformats.org/officeDocument/2006/relationships/hyperlink" Target="https://www.defensetravel.dod.mil/site/bah.cf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Britford, Summer, CIV, DTMO</dc:creator>
  <cp:lastModifiedBy>Lovelady, Allison E CIV DODHRA DTMO (US)</cp:lastModifiedBy>
  <cp:revision>15</cp:revision>
  <cp:lastPrinted>2014-12-11T21:41:00Z</cp:lastPrinted>
  <dcterms:created xsi:type="dcterms:W3CDTF">2017-10-31T19:19:00Z</dcterms:created>
  <dcterms:modified xsi:type="dcterms:W3CDTF">2018-12-14T12:11:00Z</dcterms:modified>
</cp:coreProperties>
</file>